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4BBA4" w14:textId="64F5164E" w:rsidR="006D7B54" w:rsidRPr="00B62367" w:rsidRDefault="00223E5D" w:rsidP="00F25FA0">
      <w:pPr>
        <w:spacing w:line="276" w:lineRule="auto"/>
        <w:jc w:val="center"/>
        <w:rPr>
          <w:b/>
          <w:bCs/>
          <w:sz w:val="16"/>
          <w:szCs w:val="18"/>
        </w:rPr>
      </w:pPr>
      <w:r w:rsidRPr="00B62367">
        <w:rPr>
          <w:b/>
          <w:bCs/>
          <w:sz w:val="16"/>
          <w:szCs w:val="18"/>
        </w:rPr>
        <w:t xml:space="preserve">Monitor </w:t>
      </w:r>
      <w:r w:rsidR="006F4192" w:rsidRPr="00B62367">
        <w:rPr>
          <w:b/>
          <w:bCs/>
          <w:sz w:val="16"/>
          <w:szCs w:val="18"/>
        </w:rPr>
        <w:t>3 szt</w:t>
      </w:r>
    </w:p>
    <w:p w14:paraId="03EF5168" w14:textId="77777777" w:rsidR="006D7B54" w:rsidRPr="00B62367" w:rsidRDefault="006D7B54" w:rsidP="00F25FA0">
      <w:pPr>
        <w:spacing w:line="276" w:lineRule="auto"/>
        <w:ind w:left="720"/>
        <w:jc w:val="center"/>
        <w:rPr>
          <w:b/>
          <w:bCs/>
          <w:sz w:val="16"/>
          <w:szCs w:val="18"/>
        </w:rPr>
      </w:pPr>
    </w:p>
    <w:tbl>
      <w:tblPr>
        <w:tblW w:w="0" w:type="auto"/>
        <w:jc w:val="center"/>
        <w:tblCellMar>
          <w:top w:w="47" w:type="dxa"/>
          <w:right w:w="55" w:type="dxa"/>
        </w:tblCellMar>
        <w:tblLook w:val="04A0" w:firstRow="1" w:lastRow="0" w:firstColumn="1" w:lastColumn="0" w:noHBand="0" w:noVBand="1"/>
      </w:tblPr>
      <w:tblGrid>
        <w:gridCol w:w="543"/>
        <w:gridCol w:w="2287"/>
        <w:gridCol w:w="6096"/>
      </w:tblGrid>
      <w:tr w:rsidR="006D7B54" w:rsidRPr="00B62367" w14:paraId="217223D0" w14:textId="77777777" w:rsidTr="00177DD8">
        <w:trPr>
          <w:trHeight w:val="468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14:paraId="0F12B98F" w14:textId="77777777" w:rsidR="006D7B54" w:rsidRPr="00B62367" w:rsidRDefault="006D7B54" w:rsidP="00F25FA0">
            <w:pPr>
              <w:pStyle w:val="Standard"/>
              <w:ind w:right="56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Lp.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14:paraId="5C654DF5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Nazwa elementu, parametru lub cechy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14:paraId="356C93E2" w14:textId="77777777" w:rsidR="006D7B54" w:rsidRPr="00B62367" w:rsidRDefault="006D7B54" w:rsidP="00F25FA0">
            <w:pPr>
              <w:pStyle w:val="Standard"/>
              <w:ind w:right="55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Wymagania</w:t>
            </w:r>
          </w:p>
        </w:tc>
      </w:tr>
      <w:tr w:rsidR="006D7B54" w:rsidRPr="00B62367" w14:paraId="7669376F" w14:textId="77777777" w:rsidTr="00177DD8">
        <w:trPr>
          <w:trHeight w:val="47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4ACD1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6A7FE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Typ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77B7D" w14:textId="44EE20B5" w:rsidR="006D7B54" w:rsidRPr="00B62367" w:rsidRDefault="00223E5D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Monitor</w:t>
            </w:r>
          </w:p>
        </w:tc>
      </w:tr>
      <w:tr w:rsidR="006D7B54" w:rsidRPr="00B62367" w14:paraId="323F7450" w14:textId="77777777" w:rsidTr="00177DD8">
        <w:trPr>
          <w:trHeight w:val="39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09309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5A7E6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Właściwości fizyczne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AED30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Funkcje monitora Funkcjonalność KVM</w:t>
            </w:r>
          </w:p>
          <w:p w14:paraId="582BDA8A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Montaż na ścianie (VESA) Tak</w:t>
            </w:r>
          </w:p>
          <w:p w14:paraId="1B1FFE71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Możliwość pochylenia panelu (tilt) Tak</w:t>
            </w:r>
          </w:p>
          <w:p w14:paraId="08B78124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Obrotowa podstawa (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swivel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) Tak</w:t>
            </w:r>
          </w:p>
          <w:p w14:paraId="6104B49D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Regulacja wysokości (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height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adjustment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) Tak</w:t>
            </w:r>
          </w:p>
          <w:p w14:paraId="4813EEAE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Materiał wykonania obudowy Tworzywa sztuczne</w:t>
            </w:r>
          </w:p>
          <w:p w14:paraId="28745C87" w14:textId="77777777" w:rsidR="005A0794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Kolor obudowy czarny</w:t>
            </w:r>
          </w:p>
          <w:p w14:paraId="6F484BE8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Typ stojaka Monitor stand</w:t>
            </w:r>
          </w:p>
          <w:p w14:paraId="0F065C65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Waga produktu 10kg</w:t>
            </w:r>
          </w:p>
          <w:p w14:paraId="7AFFEBB2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Wysokość (mm) 394-549</w:t>
            </w:r>
          </w:p>
          <w:p w14:paraId="3A660657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Szerokość (mm) 817</w:t>
            </w:r>
          </w:p>
          <w:p w14:paraId="7FD5C9BA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Głębokość (mm) 220</w:t>
            </w:r>
          </w:p>
          <w:p w14:paraId="66785AC7" w14:textId="1FEA550E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Certyfikaty: ENERGY STAR®, EPEAT™ Gold,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Eyesafe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® Display 2.0, TCO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Certified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10.0, TCO Edge 2.1, TÜV In-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Plane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Switching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Black, TÜV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Low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Blue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Light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Hardware Solution, TÜV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Rheinland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®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Eye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Comfort, TÜV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Rheinland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®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Flicker</w:t>
            </w:r>
            <w:proofErr w:type="spellEnd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proofErr w:type="spellStart"/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Free</w:t>
            </w:r>
            <w:proofErr w:type="spellEnd"/>
          </w:p>
        </w:tc>
      </w:tr>
      <w:tr w:rsidR="006D7B54" w:rsidRPr="00B62367" w14:paraId="26BE2046" w14:textId="77777777" w:rsidTr="00177DD8">
        <w:trPr>
          <w:trHeight w:val="39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F556F" w14:textId="780CB4E7" w:rsidR="006D7B54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D5BF8" w14:textId="19CD0E2A" w:rsidR="006D7B54" w:rsidRPr="00B62367" w:rsidRDefault="005A079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Matryca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2FC43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Przekątna matrycy 34”</w:t>
            </w:r>
          </w:p>
          <w:p w14:paraId="1B24816A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Standard matrycy WQHD</w:t>
            </w:r>
          </w:p>
          <w:p w14:paraId="628588A3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Rozdzielczość matrycy 3440 x 1440</w:t>
            </w:r>
          </w:p>
          <w:p w14:paraId="37D7B9D8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Format obrazu 21:9</w:t>
            </w:r>
          </w:p>
          <w:p w14:paraId="6A016B22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Powłoka matrycy Matowa</w:t>
            </w:r>
          </w:p>
          <w:p w14:paraId="5377E51F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Technologia ekranu IPS</w:t>
            </w:r>
          </w:p>
          <w:p w14:paraId="399DB413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Matryca zakrzywiona(promień) Tak (3800 R)</w:t>
            </w:r>
          </w:p>
          <w:p w14:paraId="72120043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Kontrast 2000:1</w:t>
            </w:r>
          </w:p>
          <w:p w14:paraId="37A0EF7E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Jasność matrycy 350 cd/m2</w:t>
            </w:r>
          </w:p>
          <w:p w14:paraId="34109701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Pokrycie palety barw 98% DCI-P3, 99% sRGB</w:t>
            </w:r>
          </w:p>
          <w:p w14:paraId="7B7DE038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Czas reakcji matrycy 4 ms</w:t>
            </w:r>
          </w:p>
          <w:p w14:paraId="270FC2E6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Obsługiwany standard HDR HDR10</w:t>
            </w:r>
          </w:p>
          <w:p w14:paraId="22B4C374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Częstotliwość odświeżania matrycy 120Hz</w:t>
            </w:r>
          </w:p>
          <w:p w14:paraId="0BBB0113" w14:textId="77777777" w:rsidR="005A0794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Kąt widzenia pionowy 178 stopni</w:t>
            </w:r>
          </w:p>
          <w:p w14:paraId="3176699B" w14:textId="4541E714" w:rsidR="00943678" w:rsidRPr="00B62367" w:rsidRDefault="005A0794" w:rsidP="00F25FA0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Kąt widzenia poziomy 178 stopni</w:t>
            </w:r>
          </w:p>
        </w:tc>
      </w:tr>
      <w:tr w:rsidR="006D7B54" w:rsidRPr="00B62367" w14:paraId="29386B83" w14:textId="77777777" w:rsidTr="00177DD8">
        <w:trPr>
          <w:trHeight w:val="39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80F68" w14:textId="2AB99B6A" w:rsidR="006D7B54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3E373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Wyposażenie multimedialne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FC9C" w14:textId="035432A0" w:rsidR="0093475D" w:rsidRPr="00B62367" w:rsidRDefault="0093475D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Ilość głośników: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2</w:t>
            </w:r>
          </w:p>
          <w:p w14:paraId="54379355" w14:textId="7C2D0BFF" w:rsidR="0093475D" w:rsidRPr="00B62367" w:rsidRDefault="0093475D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Moc głośników: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3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W</w:t>
            </w:r>
          </w:p>
          <w:p w14:paraId="35195E03" w14:textId="78753A21" w:rsidR="006D7B54" w:rsidRPr="00B62367" w:rsidRDefault="0093475D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Kamera: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tak</w:t>
            </w:r>
          </w:p>
        </w:tc>
      </w:tr>
      <w:tr w:rsidR="006D7B54" w:rsidRPr="00B62367" w14:paraId="672183EE" w14:textId="77777777" w:rsidTr="00177DD8">
        <w:trPr>
          <w:trHeight w:val="39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A1762" w14:textId="75262F7D" w:rsidR="006D7B54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FF29A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Wsparcie techniczne producenta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DC48" w14:textId="759DA112" w:rsidR="006D7B54" w:rsidRPr="00B62367" w:rsidRDefault="0093475D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36 miesięcy</w:t>
            </w:r>
          </w:p>
        </w:tc>
      </w:tr>
      <w:tr w:rsidR="006D7B54" w:rsidRPr="00B62367" w14:paraId="26336D71" w14:textId="77777777" w:rsidTr="00177DD8">
        <w:trPr>
          <w:trHeight w:val="1369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F3022" w14:textId="17E74B99" w:rsidR="006D7B54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6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46B2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Wbudowane porty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12F7" w14:textId="33D7BF3B" w:rsidR="0093475D" w:rsidRPr="00B62367" w:rsidRDefault="005A0794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Display Port 2szt – DP 1.4</w:t>
            </w:r>
          </w:p>
          <w:p w14:paraId="23D1725C" w14:textId="6591AE84" w:rsidR="0093475D" w:rsidRPr="00B62367" w:rsidRDefault="005A0794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HDMI 1 szt – HDMI 2.1 TMDS</w:t>
            </w:r>
          </w:p>
          <w:p w14:paraId="351D0B17" w14:textId="028DE0C0" w:rsidR="0093475D" w:rsidRPr="00B62367" w:rsidRDefault="0093475D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USB 3.2 Gen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(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5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spellStart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Gbps</w:t>
            </w:r>
            <w:proofErr w:type="spellEnd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)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–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1szt typ-B, 5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szt</w:t>
            </w:r>
          </w:p>
          <w:p w14:paraId="363F38C3" w14:textId="5E957138" w:rsidR="0093475D" w:rsidRPr="00B62367" w:rsidRDefault="0093475D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USB 3.2 Gen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typ C (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5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spellStart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Gbps</w:t>
            </w:r>
            <w:proofErr w:type="spellEnd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) - 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3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szt (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>1 szt z Display Port</w:t>
            </w: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)</w:t>
            </w:r>
          </w:p>
          <w:p w14:paraId="5FFA73A5" w14:textId="3AF5371F" w:rsidR="006D7B54" w:rsidRPr="00B62367" w:rsidRDefault="0093475D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RJ-45 [LAN] - 1 szt</w:t>
            </w:r>
            <w:r w:rsidR="005A0794"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(2,5Gbps)</w:t>
            </w:r>
          </w:p>
        </w:tc>
      </w:tr>
      <w:tr w:rsidR="006D7B54" w:rsidRPr="00B62367" w14:paraId="61B04C3C" w14:textId="77777777" w:rsidTr="00177DD8">
        <w:trPr>
          <w:trHeight w:val="39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A3C21" w14:textId="4ABB7D9A" w:rsidR="006D7B54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7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17AAF" w14:textId="7793A28E" w:rsidR="006D7B54" w:rsidRPr="00B62367" w:rsidRDefault="00E564E5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Klasa energetyczna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24BE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Klasa energetyczna (tryb SDR) E</w:t>
            </w:r>
          </w:p>
          <w:p w14:paraId="506DBB80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Klasa energetyczna (tryb HDR) G</w:t>
            </w:r>
          </w:p>
          <w:p w14:paraId="596B5C0B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Pobór mocy w trybie SDR 26 W</w:t>
            </w:r>
          </w:p>
          <w:p w14:paraId="6CB782DA" w14:textId="7777777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Pobór mocy w trybie HDR 43 W</w:t>
            </w:r>
          </w:p>
          <w:p w14:paraId="58F8F3DD" w14:textId="17F3E13F" w:rsidR="00667F5F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Pobór mocy w trybie czuwania 0,5 W</w:t>
            </w:r>
          </w:p>
        </w:tc>
      </w:tr>
      <w:tr w:rsidR="006D7B54" w:rsidRPr="00B62367" w14:paraId="4690F166" w14:textId="77777777" w:rsidTr="00E564E5">
        <w:trPr>
          <w:trHeight w:val="1154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989AA" w14:textId="135A5A56" w:rsidR="006D7B54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8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31FDD" w14:textId="77777777" w:rsidR="006D7B54" w:rsidRPr="00B62367" w:rsidRDefault="006D7B54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Warunki gwarancji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ABF0" w14:textId="4143628D" w:rsidR="00E564E5" w:rsidRPr="00B62367" w:rsidRDefault="00E564E5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  <w:p w14:paraId="764AA8FC" w14:textId="775E46B7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Czas trwania 36 miesięcy</w:t>
            </w:r>
          </w:p>
          <w:p w14:paraId="11255CC3" w14:textId="77777777" w:rsidR="00D5377B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Rodzaj Carry-In/ </w:t>
            </w:r>
            <w:proofErr w:type="spellStart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Door</w:t>
            </w:r>
            <w:proofErr w:type="spellEnd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-To-</w:t>
            </w:r>
            <w:proofErr w:type="spellStart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Door</w:t>
            </w:r>
            <w:proofErr w:type="spellEnd"/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 (Naprawa w serwisie)</w:t>
            </w:r>
          </w:p>
          <w:p w14:paraId="387A4AB6" w14:textId="51B78998" w:rsidR="00E564E5" w:rsidRPr="00B62367" w:rsidRDefault="00E564E5" w:rsidP="00F25FA0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Typ gwarancji Producenta</w:t>
            </w:r>
          </w:p>
        </w:tc>
      </w:tr>
      <w:tr w:rsidR="00E564E5" w:rsidRPr="00B62367" w14:paraId="25E09CA9" w14:textId="77777777" w:rsidTr="00E564E5">
        <w:trPr>
          <w:trHeight w:val="1154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1CE7" w14:textId="764EB780" w:rsidR="00E564E5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9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27A52" w14:textId="76CBC7BA" w:rsidR="00E564E5" w:rsidRPr="00B62367" w:rsidRDefault="00E564E5" w:rsidP="00F25FA0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</w:pPr>
            <w:r w:rsidRPr="00B623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Wyposażenie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6790" w14:textId="56B389FF" w:rsidR="00F25FA0" w:rsidRPr="00B62367" w:rsidRDefault="00F25FA0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 xml:space="preserve">Zasilacz z przewodem </w:t>
            </w:r>
            <w:r w:rsidR="009076C5" w:rsidRPr="00B62367">
              <w:rPr>
                <w:rFonts w:ascii="Times New Roman" w:hAnsi="Times New Roman" w:cs="Times New Roman"/>
                <w:sz w:val="16"/>
                <w:szCs w:val="18"/>
              </w:rPr>
              <w:t>zasilającym</w:t>
            </w:r>
            <w:bookmarkStart w:id="0" w:name="_GoBack"/>
            <w:bookmarkEnd w:id="0"/>
          </w:p>
          <w:p w14:paraId="5AB49A08" w14:textId="478D3BEA" w:rsidR="00E564E5" w:rsidRPr="00B62367" w:rsidRDefault="00E564E5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Kabel DP</w:t>
            </w:r>
          </w:p>
          <w:p w14:paraId="57247FC2" w14:textId="77777777" w:rsidR="00E564E5" w:rsidRPr="00B62367" w:rsidRDefault="00E564E5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Kabel USB-B – USB-A</w:t>
            </w:r>
          </w:p>
          <w:p w14:paraId="024B82AB" w14:textId="7AFC4AEA" w:rsidR="00E564E5" w:rsidRPr="00B62367" w:rsidRDefault="00E564E5" w:rsidP="00F25FA0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B62367">
              <w:rPr>
                <w:rFonts w:ascii="Times New Roman" w:hAnsi="Times New Roman" w:cs="Times New Roman"/>
                <w:sz w:val="16"/>
                <w:szCs w:val="18"/>
              </w:rPr>
              <w:t>Kabel USB-C</w:t>
            </w:r>
          </w:p>
        </w:tc>
      </w:tr>
    </w:tbl>
    <w:p w14:paraId="1DAAA050" w14:textId="77777777" w:rsidR="00E564E5" w:rsidRPr="00B62367" w:rsidRDefault="00E564E5" w:rsidP="00F25FA0">
      <w:pPr>
        <w:jc w:val="center"/>
        <w:rPr>
          <w:sz w:val="16"/>
          <w:szCs w:val="18"/>
        </w:rPr>
      </w:pPr>
    </w:p>
    <w:sectPr w:rsidR="00E564E5" w:rsidRPr="00B62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B54"/>
    <w:rsid w:val="00027D2E"/>
    <w:rsid w:val="000C0F49"/>
    <w:rsid w:val="00133801"/>
    <w:rsid w:val="00177DD8"/>
    <w:rsid w:val="00220FFC"/>
    <w:rsid w:val="00223E5D"/>
    <w:rsid w:val="002B6658"/>
    <w:rsid w:val="003259EF"/>
    <w:rsid w:val="00361833"/>
    <w:rsid w:val="003F7C3C"/>
    <w:rsid w:val="00437E5F"/>
    <w:rsid w:val="004D0BF5"/>
    <w:rsid w:val="004E0881"/>
    <w:rsid w:val="004F089B"/>
    <w:rsid w:val="005A0794"/>
    <w:rsid w:val="005B24FE"/>
    <w:rsid w:val="005E3EA6"/>
    <w:rsid w:val="00654740"/>
    <w:rsid w:val="00667F5F"/>
    <w:rsid w:val="00695F13"/>
    <w:rsid w:val="006D7B54"/>
    <w:rsid w:val="006F4192"/>
    <w:rsid w:val="00756EAA"/>
    <w:rsid w:val="00784C4E"/>
    <w:rsid w:val="00807554"/>
    <w:rsid w:val="008348F0"/>
    <w:rsid w:val="00842134"/>
    <w:rsid w:val="00853617"/>
    <w:rsid w:val="009076C5"/>
    <w:rsid w:val="0093475D"/>
    <w:rsid w:val="00943678"/>
    <w:rsid w:val="009F23C2"/>
    <w:rsid w:val="00A4647F"/>
    <w:rsid w:val="00A91201"/>
    <w:rsid w:val="00AB1051"/>
    <w:rsid w:val="00B103C5"/>
    <w:rsid w:val="00B62367"/>
    <w:rsid w:val="00B81161"/>
    <w:rsid w:val="00B9306D"/>
    <w:rsid w:val="00BA32DF"/>
    <w:rsid w:val="00BD3C24"/>
    <w:rsid w:val="00CD5499"/>
    <w:rsid w:val="00CF73F5"/>
    <w:rsid w:val="00D12037"/>
    <w:rsid w:val="00D5377B"/>
    <w:rsid w:val="00D9630D"/>
    <w:rsid w:val="00DA7E55"/>
    <w:rsid w:val="00DC6BEE"/>
    <w:rsid w:val="00DD619C"/>
    <w:rsid w:val="00E00E3A"/>
    <w:rsid w:val="00E564E5"/>
    <w:rsid w:val="00EB6A6C"/>
    <w:rsid w:val="00F06EBB"/>
    <w:rsid w:val="00F25FA0"/>
    <w:rsid w:val="00FB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68E2C"/>
  <w15:chartTrackingRefBased/>
  <w15:docId w15:val="{46F6504C-F56A-433B-B648-B88ADDBF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7B5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D7B54"/>
    <w:pPr>
      <w:widowControl w:val="0"/>
      <w:suppressAutoHyphens/>
      <w:spacing w:after="0" w:line="240" w:lineRule="auto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3E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3E5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3E5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3E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3E5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Sołjan Kacper</dc:creator>
  <cp:keywords/>
  <dc:description/>
  <cp:lastModifiedBy>Sołjan Kacper</cp:lastModifiedBy>
  <cp:revision>7</cp:revision>
  <dcterms:created xsi:type="dcterms:W3CDTF">2026-10-14T12:41:00Z</dcterms:created>
  <dcterms:modified xsi:type="dcterms:W3CDTF">2026-10-14T12:45:00Z</dcterms:modified>
</cp:coreProperties>
</file>